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2"/>
        <w:jc w:val="right"/>
        <w:rPr>
          <w:rStyle w:val="747"/>
          <w:b w:val="0"/>
          <w:sz w:val="28"/>
          <w:szCs w:val="28"/>
        </w:rPr>
      </w:pPr>
      <w:r>
        <w:rPr>
          <w:rStyle w:val="747"/>
          <w:b w:val="0"/>
          <w:sz w:val="28"/>
          <w:szCs w:val="28"/>
        </w:rPr>
        <w:t xml:space="preserve">Приложение 1</w:t>
      </w:r>
      <w:r>
        <w:rPr>
          <w:rStyle w:val="747"/>
          <w:b w:val="0"/>
          <w:sz w:val="28"/>
          <w:szCs w:val="28"/>
        </w:rPr>
      </w:r>
    </w:p>
    <w:p>
      <w:pPr>
        <w:pStyle w:val="672"/>
        <w:jc w:val="right"/>
      </w:pPr>
      <w:r>
        <w:rPr>
          <w:rStyle w:val="747"/>
          <w:b w:val="0"/>
          <w:sz w:val="28"/>
          <w:szCs w:val="28"/>
        </w:rPr>
        <w:t xml:space="preserve">к постановлению Правления </w:t>
      </w:r>
      <w:r/>
    </w:p>
    <w:p>
      <w:pPr>
        <w:pStyle w:val="672"/>
        <w:jc w:val="right"/>
        <w:rPr>
          <w:rStyle w:val="747"/>
          <w:b w:val="0"/>
          <w:sz w:val="28"/>
          <w:szCs w:val="28"/>
        </w:rPr>
      </w:pPr>
      <w:r>
        <w:rPr>
          <w:rStyle w:val="747"/>
          <w:b w:val="0"/>
          <w:sz w:val="28"/>
          <w:szCs w:val="28"/>
        </w:rPr>
        <w:t xml:space="preserve">Союза Вологодская </w:t>
      </w:r>
      <w:r>
        <w:rPr>
          <w:rStyle w:val="747"/>
          <w:b w:val="0"/>
          <w:sz w:val="28"/>
          <w:szCs w:val="28"/>
        </w:rPr>
      </w:r>
    </w:p>
    <w:p>
      <w:pPr>
        <w:pStyle w:val="672"/>
        <w:jc w:val="right"/>
      </w:pPr>
      <w:r>
        <w:rPr>
          <w:rStyle w:val="747"/>
          <w:b w:val="0"/>
          <w:sz w:val="28"/>
          <w:szCs w:val="28"/>
        </w:rPr>
        <w:t xml:space="preserve">торгово-промышленная палата </w:t>
      </w:r>
      <w:r/>
    </w:p>
    <w:p>
      <w:pPr>
        <w:pStyle w:val="672"/>
        <w:jc w:val="right"/>
        <w:rPr>
          <w:rStyle w:val="747"/>
          <w:b w:val="0"/>
          <w:sz w:val="28"/>
          <w:szCs w:val="28"/>
        </w:rPr>
      </w:pPr>
      <w:r>
        <w:rPr>
          <w:rStyle w:val="747"/>
          <w:b w:val="0"/>
          <w:sz w:val="28"/>
          <w:szCs w:val="28"/>
        </w:rPr>
        <w:t xml:space="preserve">от 2</w:t>
      </w:r>
      <w:r>
        <w:rPr>
          <w:rStyle w:val="747"/>
          <w:b w:val="0"/>
          <w:sz w:val="28"/>
          <w:szCs w:val="28"/>
          <w:lang w:val="en-US"/>
        </w:rPr>
        <w:t xml:space="preserve">4</w:t>
      </w:r>
      <w:r>
        <w:rPr>
          <w:rStyle w:val="747"/>
          <w:b w:val="0"/>
          <w:sz w:val="28"/>
          <w:szCs w:val="28"/>
        </w:rPr>
        <w:t xml:space="preserve">.12.202</w:t>
      </w:r>
      <w:r>
        <w:rPr>
          <w:rStyle w:val="747"/>
          <w:b w:val="0"/>
          <w:sz w:val="28"/>
          <w:szCs w:val="28"/>
          <w:lang w:val="en-US"/>
        </w:rPr>
        <w:t xml:space="preserve">3</w:t>
      </w:r>
      <w:r>
        <w:rPr>
          <w:rStyle w:val="747"/>
          <w:b w:val="0"/>
          <w:sz w:val="28"/>
          <w:szCs w:val="28"/>
        </w:rPr>
        <w:t xml:space="preserve"> г. № </w:t>
      </w:r>
      <w:r>
        <w:rPr>
          <w:rStyle w:val="747"/>
          <w:b w:val="0"/>
          <w:sz w:val="28"/>
          <w:szCs w:val="28"/>
          <w:lang w:val="en-US"/>
        </w:rPr>
        <w:t xml:space="preserve">III</w:t>
      </w:r>
      <w:r>
        <w:rPr>
          <w:rStyle w:val="747"/>
          <w:b w:val="0"/>
          <w:sz w:val="28"/>
          <w:szCs w:val="28"/>
        </w:rPr>
        <w:t xml:space="preserve">-5</w:t>
      </w:r>
      <w:r>
        <w:rPr>
          <w:rStyle w:val="747"/>
          <w:b w:val="0"/>
          <w:sz w:val="28"/>
          <w:szCs w:val="28"/>
        </w:rPr>
      </w:r>
    </w:p>
    <w:p>
      <w:pPr>
        <w:pStyle w:val="672"/>
        <w:ind w:firstLine="360"/>
        <w:jc w:val="center"/>
        <w:rPr>
          <w:rStyle w:val="747"/>
          <w:b/>
          <w:bCs/>
          <w:sz w:val="28"/>
          <w:szCs w:val="28"/>
        </w:rPr>
      </w:pPr>
      <w:r/>
      <w:r>
        <w:rPr>
          <w:rStyle w:val="747"/>
          <w:b/>
          <w:bCs/>
          <w:sz w:val="28"/>
          <w:szCs w:val="28"/>
        </w:rPr>
      </w:r>
    </w:p>
    <w:p>
      <w:pPr>
        <w:pStyle w:val="672"/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</w:t>
      </w:r>
      <w:r>
        <w:rPr>
          <w:b/>
          <w:bCs/>
          <w:sz w:val="28"/>
          <w:szCs w:val="28"/>
        </w:rPr>
      </w:r>
    </w:p>
    <w:p>
      <w:pPr>
        <w:pStyle w:val="672"/>
        <w:ind w:firstLine="360"/>
        <w:jc w:val="center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конкурса "Серебряный Меркурий"</w:t>
      </w:r>
      <w:r>
        <w:rPr>
          <w:bCs/>
          <w:i/>
          <w:sz w:val="28"/>
          <w:szCs w:val="28"/>
        </w:rPr>
      </w:r>
    </w:p>
    <w:p>
      <w:pPr>
        <w:pStyle w:val="759"/>
        <w:ind w:left="0" w:firstLine="0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672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Общие положения</w:t>
      </w:r>
      <w:r>
        <w:rPr>
          <w:sz w:val="28"/>
          <w:szCs w:val="28"/>
        </w:rPr>
      </w:r>
    </w:p>
    <w:p>
      <w:pPr>
        <w:pStyle w:val="672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в области предпринимательской деятельности "Серебряный </w:t>
        <w:br/>
        <w:t xml:space="preserve">Меркурий" (далее – конкурс) проводится ежегодно Союзом Вологодская торгово-промышленная палата (далее – Вологодская ТПП).</w:t>
      </w:r>
      <w:r>
        <w:rPr>
          <w:sz w:val="28"/>
          <w:szCs w:val="28"/>
        </w:rPr>
      </w:r>
    </w:p>
    <w:p>
      <w:pPr>
        <w:pStyle w:val="672"/>
        <w:ind w:firstLine="357"/>
        <w:jc w:val="both"/>
      </w:pPr>
      <w:r>
        <w:rPr>
          <w:sz w:val="28"/>
          <w:szCs w:val="28"/>
        </w:rPr>
        <w:t xml:space="preserve">Цель конкурса:</w:t>
      </w:r>
      <w:r/>
    </w:p>
    <w:p>
      <w:pPr>
        <w:pStyle w:val="672"/>
        <w:ind w:firstLine="357"/>
        <w:jc w:val="both"/>
      </w:pPr>
      <w:r>
        <w:rPr>
          <w:sz w:val="28"/>
          <w:szCs w:val="28"/>
        </w:rPr>
        <w:t xml:space="preserve">- содействие развитию предпринимательства в Вологодской области;</w:t>
      </w:r>
      <w:r/>
    </w:p>
    <w:p>
      <w:pPr>
        <w:pStyle w:val="672"/>
        <w:ind w:firstLine="357"/>
        <w:jc w:val="both"/>
      </w:pPr>
      <w:r>
        <w:rPr>
          <w:sz w:val="28"/>
          <w:szCs w:val="28"/>
        </w:rPr>
        <w:t xml:space="preserve">- обеспечение возможности предпринимателям представить лучшие образцы продукции и услуг, передовые отечественные бизнес-модели, пропаганда идеи социальной ответственности бизнеса;</w:t>
      </w:r>
      <w:r/>
    </w:p>
    <w:p>
      <w:pPr>
        <w:pStyle w:val="672"/>
        <w:ind w:firstLine="357"/>
        <w:jc w:val="both"/>
      </w:pPr>
      <w:r>
        <w:rPr>
          <w:sz w:val="28"/>
          <w:szCs w:val="28"/>
        </w:rPr>
        <w:t xml:space="preserve">- укрепление традиций российского предпринимательства, формирование уважительного отношения общества к бизнесу;</w:t>
      </w:r>
      <w:r/>
    </w:p>
    <w:p>
      <w:pPr>
        <w:pStyle w:val="672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numPr>
          <w:ilvl w:val="0"/>
          <w:numId w:val="3"/>
        </w:numPr>
        <w:jc w:val="center"/>
      </w:pPr>
      <w:r>
        <w:rPr>
          <w:b/>
          <w:sz w:val="28"/>
          <w:szCs w:val="28"/>
        </w:rPr>
        <w:t xml:space="preserve">Задачи конкурса</w:t>
      </w:r>
      <w:r/>
    </w:p>
    <w:p>
      <w:pPr>
        <w:pStyle w:val="672"/>
        <w:ind w:left="36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2"/>
        <w:ind w:firstLine="360"/>
      </w:pPr>
      <w:r>
        <w:rPr>
          <w:sz w:val="28"/>
          <w:szCs w:val="28"/>
        </w:rPr>
        <w:t xml:space="preserve">Задачи Конкурса: </w:t>
      </w:r>
      <w:r/>
    </w:p>
    <w:p>
      <w:pPr>
        <w:pStyle w:val="672"/>
        <w:ind w:firstLine="426"/>
        <w:jc w:val="both"/>
      </w:pPr>
      <w:r>
        <w:rPr>
          <w:sz w:val="28"/>
          <w:szCs w:val="28"/>
        </w:rPr>
        <w:t xml:space="preserve">- формирование положительного имиджа предприятий (их руководителей) и индивидуальных предпринимателей в обществе;</w:t>
      </w:r>
      <w:r/>
    </w:p>
    <w:p>
      <w:pPr>
        <w:pStyle w:val="672"/>
        <w:ind w:firstLine="426"/>
        <w:jc w:val="both"/>
      </w:pPr>
      <w:r>
        <w:rPr>
          <w:sz w:val="28"/>
          <w:szCs w:val="28"/>
        </w:rPr>
        <w:t xml:space="preserve">- создание благоприятного общественного климата для развития регионального производства товаров и услуг и улучшения инвестиционной привлекательности региона;</w:t>
      </w:r>
      <w:r/>
    </w:p>
    <w:p>
      <w:pPr>
        <w:pStyle w:val="672"/>
        <w:ind w:firstLine="426"/>
        <w:jc w:val="both"/>
      </w:pPr>
      <w:r>
        <w:rPr>
          <w:sz w:val="28"/>
          <w:szCs w:val="28"/>
        </w:rPr>
        <w:t xml:space="preserve">- выявление представителей бизнеса, добившихся наибольших успехов в своей деятельности; </w:t>
      </w:r>
      <w:r/>
    </w:p>
    <w:p>
      <w:pPr>
        <w:pStyle w:val="672"/>
        <w:ind w:firstLine="426"/>
        <w:jc w:val="both"/>
      </w:pPr>
      <w:r>
        <w:rPr>
          <w:sz w:val="28"/>
          <w:szCs w:val="28"/>
        </w:rPr>
        <w:t xml:space="preserve">- систематизация работы лучших представителей предприятий и предпринимателей для дальнейшего распространения и привлечения широких слоев населения к предпринимательской деятельности;</w:t>
      </w:r>
      <w:r/>
    </w:p>
    <w:p>
      <w:pPr>
        <w:pStyle w:val="672"/>
        <w:ind w:firstLine="426"/>
        <w:jc w:val="both"/>
      </w:pPr>
      <w:r>
        <w:rPr>
          <w:sz w:val="28"/>
          <w:szCs w:val="28"/>
        </w:rPr>
        <w:t xml:space="preserve">- стимулирование предприятий и организаций, предпринимателей к участию в развитии региона;</w:t>
      </w:r>
      <w:r/>
    </w:p>
    <w:p>
      <w:pPr>
        <w:pStyle w:val="672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раскрытие кадрового потенциала региона, обеспечение общественного признания заслуг персонала в развитии своих предприятий и организаций.</w:t>
      </w:r>
      <w:r>
        <w:rPr>
          <w:sz w:val="28"/>
          <w:szCs w:val="28"/>
        </w:rPr>
      </w:r>
    </w:p>
    <w:p>
      <w:pPr>
        <w:pStyle w:val="672"/>
        <w:ind w:firstLine="357"/>
        <w:jc w:val="both"/>
      </w:pPr>
      <w:r>
        <w:rPr>
          <w:sz w:val="28"/>
          <w:szCs w:val="28"/>
        </w:rPr>
        <w:t xml:space="preserve">- выдвижение предприятий Вологодской области на федеральный этап конкурса Национальной премии в области предпринимательской деятельности «Золотой Меркурий»</w:t>
      </w:r>
      <w:r>
        <w:t xml:space="preserve"> </w:t>
      </w:r>
      <w:r>
        <w:rPr>
          <w:sz w:val="28"/>
          <w:szCs w:val="28"/>
        </w:rPr>
        <w:t xml:space="preserve">учрежденной Торгово-промышленной палатой Российской Федерации.</w:t>
      </w:r>
      <w:r/>
    </w:p>
    <w:p>
      <w:pPr>
        <w:pStyle w:val="759"/>
        <w:ind w:left="0" w:firstLine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759"/>
        <w:ind w:left="0" w:firstLine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759"/>
        <w:ind w:left="0" w:firstLine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759"/>
        <w:ind w:left="0" w:firstLine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759"/>
        <w:ind w:left="0" w:firstLine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759"/>
        <w:ind w:left="0" w:firstLine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 Номинации конкурса</w:t>
      </w:r>
      <w:r>
        <w:rPr>
          <w:b/>
          <w:bCs/>
          <w:iCs/>
          <w:sz w:val="28"/>
          <w:szCs w:val="28"/>
        </w:rPr>
      </w:r>
    </w:p>
    <w:p>
      <w:pPr>
        <w:pStyle w:val="759"/>
        <w:ind w:left="0" w:firstLine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</w:r>
      <w:r>
        <w:rPr>
          <w:b/>
          <w:bCs/>
          <w:iCs/>
          <w:sz w:val="28"/>
          <w:szCs w:val="28"/>
        </w:rPr>
      </w:r>
    </w:p>
    <w:p>
      <w:pPr>
        <w:pStyle w:val="759"/>
        <w:ind w:left="0" w:firstLine="0"/>
      </w:pPr>
      <w:r>
        <w:rPr>
          <w:b/>
          <w:sz w:val="28"/>
          <w:szCs w:val="28"/>
          <w:lang w:val="en-US"/>
        </w:rPr>
        <w:t xml:space="preserve">I</w:t>
      </w:r>
      <w:r>
        <w:rPr>
          <w:b/>
          <w:sz w:val="28"/>
          <w:szCs w:val="28"/>
        </w:rPr>
        <w:t xml:space="preserve">. Устанавливаются следующие основные номинации конкурса:</w:t>
      </w:r>
      <w:r/>
    </w:p>
    <w:p>
      <w:pPr>
        <w:pStyle w:val="759"/>
        <w:ind w:left="0" w:firstLine="0"/>
        <w:spacing w:before="120" w:after="0"/>
      </w:pPr>
      <w:r>
        <w:rPr>
          <w:i/>
          <w:sz w:val="28"/>
          <w:szCs w:val="28"/>
          <w:u w:val="single"/>
        </w:rPr>
        <w:t xml:space="preserve">1. "Лучшее предприятие":</w:t>
      </w:r>
      <w:r/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</w:pPr>
      <w:r>
        <w:rPr>
          <w:sz w:val="28"/>
          <w:szCs w:val="28"/>
        </w:rPr>
        <w:t xml:space="preserve">в сфере промышленного производства </w:t>
      </w:r>
      <w:r/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агропромышленном комплексе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инновационной деятельности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торговли и услуг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пищевой и перерабатывающей продукции </w:t>
      </w:r>
      <w:r>
        <w:rPr>
          <w:strike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общественного питания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лесопромышленном комплексе 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образовательных услуг 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непродовольственной потребительской продукции 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туризма и гостеприимства 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жилищно-коммунального хозяйства 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</w:pPr>
      <w:r>
        <w:rPr>
          <w:sz w:val="28"/>
          <w:szCs w:val="28"/>
        </w:rPr>
        <w:t xml:space="preserve">в сфере медицины и индустрии красоты </w:t>
      </w:r>
      <w:r/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</w:pPr>
      <w:r>
        <w:rPr>
          <w:sz w:val="28"/>
          <w:szCs w:val="28"/>
        </w:rPr>
        <w:t xml:space="preserve">в сфере рекламы, </w:t>
      </w:r>
      <w:r>
        <w:rPr>
          <w:sz w:val="28"/>
          <w:szCs w:val="28"/>
          <w:lang w:val="en-US"/>
        </w:rPr>
        <w:t xml:space="preserve">PR</w:t>
      </w:r>
      <w:r>
        <w:rPr>
          <w:sz w:val="28"/>
          <w:szCs w:val="28"/>
        </w:rPr>
        <w:t xml:space="preserve"> и издательской деятельности  </w:t>
      </w:r>
      <w:r/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</w:pPr>
      <w:r>
        <w:rPr>
          <w:sz w:val="28"/>
          <w:szCs w:val="28"/>
        </w:rPr>
        <w:t xml:space="preserve">в сфере гражданского, промышленного строительства и проектирования </w:t>
      </w:r>
      <w:r/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риэлторской деятельности 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сфере фитнес индустрии</w:t>
      </w:r>
      <w:r>
        <w:rPr>
          <w:sz w:val="28"/>
          <w:szCs w:val="28"/>
        </w:rPr>
      </w:r>
    </w:p>
    <w:p>
      <w:pPr>
        <w:pStyle w:val="67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9"/>
        <w:ind w:left="0" w:firstLine="0"/>
        <w:spacing w:before="120" w:after="0"/>
      </w:pPr>
      <w:r>
        <w:rPr>
          <w:i/>
          <w:sz w:val="28"/>
          <w:szCs w:val="28"/>
          <w:u w:val="single"/>
        </w:rPr>
        <w:t xml:space="preserve">2. "Лучшее предприятие-экспортер"</w:t>
      </w:r>
      <w:r>
        <w:rPr>
          <w:i/>
          <w:sz w:val="28"/>
          <w:szCs w:val="28"/>
        </w:rPr>
        <w:t xml:space="preserve">:</w:t>
      </w:r>
      <w:r/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промышленного производства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сфере производства потребительской продукции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</w:pPr>
      <w:r>
        <w:rPr>
          <w:sz w:val="28"/>
          <w:szCs w:val="28"/>
        </w:rPr>
        <w:t xml:space="preserve">в лесопромышленном комплексе</w:t>
      </w:r>
      <w:r/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в сфере услуг строительства</w:t>
      </w:r>
      <w:r>
        <w:rPr>
          <w:i/>
          <w:sz w:val="28"/>
          <w:szCs w:val="28"/>
          <w:u w:val="singl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i/>
          <w:sz w:val="28"/>
          <w:szCs w:val="28"/>
          <w:u w:val="single"/>
        </w:rPr>
      </w:r>
    </w:p>
    <w:p>
      <w:pPr>
        <w:pStyle w:val="672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</w:r>
      <w:r>
        <w:rPr>
          <w:i/>
          <w:sz w:val="28"/>
          <w:szCs w:val="28"/>
          <w:u w:val="single"/>
        </w:rPr>
      </w:r>
    </w:p>
    <w:p>
      <w:pPr>
        <w:pStyle w:val="759"/>
        <w:ind w:left="0" w:firstLine="0"/>
        <w:spacing w:before="120" w:after="0"/>
      </w:pPr>
      <w:r>
        <w:rPr>
          <w:i/>
          <w:sz w:val="28"/>
          <w:szCs w:val="28"/>
          <w:u w:val="single"/>
        </w:rPr>
        <w:t xml:space="preserve">3. "Лучший бизнес-проект":</w:t>
      </w:r>
      <w:r/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промышленный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социальный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молодежный</w:t>
      </w:r>
      <w:r>
        <w:rPr>
          <w:sz w:val="28"/>
          <w:szCs w:val="28"/>
        </w:rPr>
      </w:r>
    </w:p>
    <w:p>
      <w:pPr>
        <w:pStyle w:val="672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9"/>
        <w:ind w:left="0" w:firstLine="0"/>
        <w:spacing w:before="120" w:after="0"/>
      </w:pPr>
      <w:r>
        <w:rPr>
          <w:i/>
          <w:sz w:val="28"/>
          <w:szCs w:val="28"/>
          <w:u w:val="single"/>
        </w:rPr>
        <w:t xml:space="preserve">4. "Лучшее семейное предприятие":</w:t>
      </w:r>
      <w:r/>
    </w:p>
    <w:p>
      <w:pPr>
        <w:pStyle w:val="672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</w:r>
      <w:r>
        <w:rPr>
          <w:i/>
          <w:sz w:val="28"/>
          <w:szCs w:val="28"/>
          <w:u w:val="single"/>
        </w:rPr>
      </w:r>
    </w:p>
    <w:p>
      <w:pPr>
        <w:pStyle w:val="672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  <w:r>
        <w:rPr>
          <w:b/>
          <w:sz w:val="28"/>
          <w:szCs w:val="28"/>
          <w:lang w:val="en-US"/>
        </w:rPr>
      </w:r>
    </w:p>
    <w:p>
      <w:pPr>
        <w:pStyle w:val="672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</w:t>
      </w:r>
      <w:r>
        <w:rPr>
          <w:b/>
          <w:sz w:val="28"/>
          <w:szCs w:val="28"/>
        </w:rPr>
        <w:t xml:space="preserve">. Устанавливаются следующие специальные номинации конкурса:</w:t>
      </w:r>
      <w:r>
        <w:rPr>
          <w:b/>
          <w:sz w:val="28"/>
          <w:szCs w:val="28"/>
        </w:rPr>
      </w:r>
    </w:p>
    <w:p>
      <w:pPr>
        <w:pStyle w:val="672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"Лучший муниципальный район/округ с наиболее благоприятными условиями для развития предпринимательства"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360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"Самый дружелюбный к бизнесу" (оцениваются банковские программы и программы поддержки бизнеса)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"Лучшая лизинговая компания Вологодской области"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"За верность традициям"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"За вклад в сохранение народного искусства и нематериального культурного наследия народов России 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"За вклад в формирование социально-ответственного бизнеса"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"За вклад в формирование позитивного делового имиджа региона"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"Руководитель-лидер"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"За вклад в будущее"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"Успешный старт"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"Лучшая бизнес-идея года"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"Товар года - сделано на Вологодчине" (могут участвовать все группы товаров)</w:t>
      </w:r>
      <w:r>
        <w:rPr>
          <w:sz w:val="28"/>
          <w:szCs w:val="28"/>
        </w:rPr>
      </w:r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</w:pPr>
      <w:r>
        <w:rPr>
          <w:sz w:val="28"/>
          <w:szCs w:val="28"/>
        </w:rPr>
        <w:t xml:space="preserve">"Событие года" (оцениваются бизнес-события 2023 года)</w:t>
      </w:r>
      <w:r/>
    </w:p>
    <w:p>
      <w:pPr>
        <w:pStyle w:val="672"/>
        <w:numPr>
          <w:ilvl w:val="0"/>
          <w:numId w:val="2"/>
        </w:numPr>
        <w:ind w:left="0" w:firstLine="284"/>
        <w:jc w:val="both"/>
        <w:tabs>
          <w:tab w:val="clear" w:pos="708" w:leader="none"/>
        </w:tabs>
      </w:pPr>
      <w:r>
        <w:rPr>
          <w:sz w:val="28"/>
          <w:szCs w:val="28"/>
        </w:rPr>
        <w:t xml:space="preserve">"Зеленая премия" (оцениваются экологические проекты)</w:t>
      </w:r>
      <w:r/>
    </w:p>
    <w:p>
      <w:pPr>
        <w:pStyle w:val="31"/>
        <w:numPr>
          <w:ilvl w:val="0"/>
          <w:numId w:val="6"/>
        </w:numPr>
        <w:ind w:right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«За сохранение традиций и качества» - за стабильное качество выпускаемой продукции по классическим рецептурам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31"/>
        <w:numPr>
          <w:ilvl w:val="0"/>
          <w:numId w:val="6"/>
        </w:numPr>
        <w:ind w:right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«За верность Серебряному Меркурию» - за неоднократное участие в конкурсе Серебряный Меркурий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31"/>
        <w:numPr>
          <w:ilvl w:val="0"/>
          <w:numId w:val="6"/>
        </w:numPr>
        <w:ind w:right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«Расширяем горизонты» - за расширение географии сбыта вологодской продукции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31"/>
        <w:numPr>
          <w:ilvl w:val="0"/>
          <w:numId w:val="6"/>
        </w:numPr>
        <w:ind w:right="0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«Демонстрируем будущее - инновационный прорыв на выставке»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firstLine="0"/>
        <w:jc w:val="both"/>
        <w:tabs>
          <w:tab w:val="clear" w:pos="708" w:leader="none"/>
        </w:tabs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72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Формирование Экспертного совета конкурса</w:t>
      </w:r>
      <w:r>
        <w:rPr>
          <w:b/>
          <w:sz w:val="28"/>
          <w:szCs w:val="28"/>
        </w:rPr>
      </w:r>
    </w:p>
    <w:p>
      <w:pPr>
        <w:pStyle w:val="6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порядок принятия решения</w:t>
      </w:r>
      <w:r>
        <w:rPr>
          <w:b/>
          <w:sz w:val="28"/>
          <w:szCs w:val="28"/>
        </w:rPr>
      </w:r>
    </w:p>
    <w:p>
      <w:pPr>
        <w:pStyle w:val="6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2"/>
        <w:ind w:firstLine="360"/>
        <w:jc w:val="both"/>
      </w:pPr>
      <w:r>
        <w:rPr>
          <w:sz w:val="28"/>
          <w:szCs w:val="28"/>
        </w:rPr>
        <w:t xml:space="preserve">4.1. Для организации и проведения конкурса формируется Экспертный совет и Организационный комитет конкурса.</w:t>
      </w:r>
      <w:r/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Экспертный совет конкурса рассматривает заявки претендентов и определяет лауреатов и победителей конкурса и формируется из числа членов Правления Вологодской ТПП, органы </w:t>
      </w:r>
      <w:r>
        <w:rPr>
          <w:sz w:val="28"/>
          <w:szCs w:val="28"/>
        </w:rPr>
        <w:t xml:space="preserve">исполнительной государственной власти Вологодской области, Администрации города Вологды, Мэрии города Череповца, председателей комитетов (советов, ассоциаций) при Вологодской ТПП и других общественных организаций, представляющих интересы бизнес-сообщества.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Экспертный совет имеет право вносить на рассмотрение и утверждать специальные и внеконкурсные номинации.</w:t>
      </w:r>
      <w:r>
        <w:rPr>
          <w:sz w:val="28"/>
          <w:szCs w:val="28"/>
        </w:rPr>
      </w:r>
    </w:p>
    <w:p>
      <w:pPr>
        <w:pStyle w:val="672"/>
        <w:ind w:firstLine="360"/>
        <w:jc w:val="both"/>
      </w:pPr>
      <w:r>
        <w:rPr>
          <w:sz w:val="28"/>
          <w:szCs w:val="28"/>
        </w:rPr>
        <w:t xml:space="preserve">4.4. Организационный комитет конкурса формируется</w:t>
      </w:r>
      <w:r>
        <w:rPr>
          <w:sz w:val="28"/>
          <w:szCs w:val="28"/>
        </w:rPr>
        <w:t xml:space="preserve"> Вологодской ТПП для руководства и координации работ, связанных с подготовкой и проведением конкурса. В его состав входят представители Вологодской ТПП, подрядчики конкурса, представители объединений предпринимателей и других заинтересованных организаций. </w:t>
      </w:r>
      <w:r/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комитет осуществляет административную поддержку и организационное обеспечение проведения конкурса и церемонии награждения лауреатов, включая обработку материалов, представляемых на конкурс.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Участники конкурса</w:t>
      </w:r>
      <w:r>
        <w:rPr>
          <w:b/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3"/>
        <w:ind w:firstLine="357"/>
        <w:jc w:val="both"/>
        <w:spacing w:before="0" w:after="0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5.1. К участию в конкурсе допускаются учреждения, орг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анизации, предприятия, осуществляющие свою деятельность на территории Вологодской области, в том числе занимающиеся внешнеэкономической деятельностью, выпускающие (предоставляющие) качественную продукцию (услугу) и имеющие поступательную динамику развития.</w:t>
      </w:r>
      <w:r/>
    </w:p>
    <w:p>
      <w:pPr>
        <w:pStyle w:val="763"/>
        <w:ind w:firstLine="357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отдельных специальных номинациях могут участвовать физические лица.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2"/>
        <w:ind w:firstLine="357"/>
        <w:jc w:val="both"/>
      </w:pPr>
      <w:r>
        <w:rPr>
          <w:sz w:val="28"/>
          <w:szCs w:val="28"/>
        </w:rPr>
        <w:t xml:space="preserve">5.2. Участники конкурса принимают решение об участии самостоятельно, а также могут быть выдвин</w:t>
      </w:r>
      <w:r>
        <w:rPr>
          <w:sz w:val="28"/>
          <w:szCs w:val="28"/>
        </w:rPr>
        <w:t xml:space="preserve">уты в качестве участников бизнес-структурами, общественными и политическими объединениями предпринимателей и их творческими союзами, союзами потребителей, территориальными подразделениями федеральных структур, администрациями муниципальных районов области.</w:t>
      </w:r>
      <w:r/>
    </w:p>
    <w:p>
      <w:pPr>
        <w:pStyle w:val="763"/>
        <w:ind w:firstLine="357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Порядок конкурсного отбора и награждение</w:t>
      </w:r>
      <w:r>
        <w:rPr>
          <w:b/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2"/>
        <w:ind w:firstLine="360"/>
        <w:jc w:val="both"/>
      </w:pPr>
      <w:r>
        <w:rPr>
          <w:sz w:val="28"/>
          <w:szCs w:val="28"/>
        </w:rPr>
        <w:t xml:space="preserve">6.1. Конкурсный отбор состоит из трех этапов:</w:t>
      </w:r>
      <w:r/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Первый этап – информирование предприятий о проведении конкурса, сбор заявок на участие в конкурсе;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6.1.2. Второй этап – рассмотрение Экспертным советом представленных материалов и подведение итогов Конкурса.</w:t>
      </w:r>
      <w:r>
        <w:rPr>
          <w:sz w:val="28"/>
          <w:szCs w:val="28"/>
        </w:rPr>
      </w:r>
    </w:p>
    <w:p>
      <w:pPr>
        <w:pStyle w:val="672"/>
        <w:ind w:firstLine="360"/>
        <w:jc w:val="both"/>
      </w:pPr>
      <w:r>
        <w:rPr>
          <w:sz w:val="28"/>
          <w:szCs w:val="28"/>
        </w:rPr>
        <w:t xml:space="preserve">6.1.3. Третий этап – из числа победителей номинаций - субъектов малого предпринимательства, отвечающих требованиям Федерального закона </w:t>
        <w:br/>
      </w:r>
      <w:r>
        <w:rPr>
          <w:sz w:val="28"/>
          <w:szCs w:val="28"/>
        </w:rPr>
        <w:t xml:space="preserve">от 24 июля 2007 г. № 209-ФЗ "О развитии малого и среднего предпринимательства в Российской Федерации" выдвигаются участники на федеральный этап ежегодной национальной премии "Золотой Меркурий", учрежденной Торгово-промышленной палатой Российской Федерации.</w:t>
      </w:r>
      <w:r/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Для участия в конкурсе заполняетс</w:t>
      </w:r>
      <w:r>
        <w:rPr>
          <w:sz w:val="28"/>
          <w:szCs w:val="28"/>
        </w:rPr>
        <w:t xml:space="preserve">я заявка, к которой прикладываются дополнительные материалы и финансовые показатели деятельности участника. Указание неверных или неточных сведений в конкурсной заявке или не предоставление финансовых показателей может служить основанием для ее отклонения.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Участники конку</w:t>
      </w:r>
      <w:r>
        <w:rPr>
          <w:sz w:val="28"/>
          <w:szCs w:val="28"/>
        </w:rPr>
        <w:t xml:space="preserve">рса несут полную ответственность за достоверность предоставленных на конкурс материалов. Информация, содержащаяся в конкурсных материалах, является конфиденциальной и может быть использована для иных целей только с письменного согласия участников конкурса.</w:t>
      </w:r>
      <w:r>
        <w:rPr>
          <w:sz w:val="28"/>
          <w:szCs w:val="28"/>
        </w:rPr>
      </w:r>
    </w:p>
    <w:p>
      <w:pPr>
        <w:pStyle w:val="672"/>
        <w:ind w:firstLine="360"/>
        <w:jc w:val="both"/>
      </w:pPr>
      <w:r>
        <w:rPr>
          <w:sz w:val="28"/>
          <w:szCs w:val="28"/>
        </w:rPr>
        <w:t xml:space="preserve">6.4. Вологодская ТПП принимает заявки, проверяет их полноту и, при необходимости, запрашивает недостающие данные. Затем сортирует заявки по номинациям и составляет «Листы оценки количественных и качественных критериев» для передачи в Экспертный совет.</w:t>
      </w:r>
      <w:r/>
    </w:p>
    <w:p>
      <w:pPr>
        <w:pStyle w:val="672"/>
        <w:ind w:firstLine="360"/>
        <w:jc w:val="both"/>
      </w:pPr>
      <w:r>
        <w:rPr>
          <w:sz w:val="28"/>
          <w:szCs w:val="28"/>
        </w:rPr>
        <w:t xml:space="preserve">6.5. Установлены следующие </w:t>
      </w:r>
      <w:r>
        <w:rPr>
          <w:b/>
          <w:sz w:val="28"/>
          <w:szCs w:val="28"/>
        </w:rPr>
        <w:t xml:space="preserve">количественные критерии</w:t>
      </w:r>
      <w:r>
        <w:rPr>
          <w:sz w:val="28"/>
          <w:szCs w:val="28"/>
        </w:rPr>
        <w:t xml:space="preserve"> (финансовые показатели) для всех основных номинаций:</w:t>
      </w:r>
      <w:r/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Изменение объема доходов по сравнению с предыдущим годом;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Доля фонда оплаты труда в объеме общих затрат;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Рентабельность продаж;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Рентабельность собственного капитала;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Прибыльность;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Доля налоговых платежей в объеме расходов;</w:t>
      </w:r>
      <w:r>
        <w:rPr>
          <w:sz w:val="28"/>
          <w:szCs w:val="28"/>
        </w:rPr>
      </w:r>
    </w:p>
    <w:p>
      <w:pPr>
        <w:pStyle w:val="672"/>
        <w:ind w:firstLine="360"/>
        <w:jc w:val="both"/>
      </w:pPr>
      <w:r>
        <w:rPr>
          <w:sz w:val="28"/>
          <w:szCs w:val="28"/>
        </w:rPr>
        <w:t xml:space="preserve">6.6. Установлены следующие </w:t>
      </w:r>
      <w:r>
        <w:rPr>
          <w:b/>
          <w:sz w:val="28"/>
          <w:szCs w:val="28"/>
        </w:rPr>
        <w:t xml:space="preserve">качественные критерии</w:t>
      </w:r>
      <w:r>
        <w:rPr>
          <w:sz w:val="28"/>
          <w:szCs w:val="28"/>
        </w:rPr>
        <w:t xml:space="preserve"> для всех основных номинаций: </w:t>
      </w:r>
      <w:r/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Деловая репутация;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Новизна производимых товаров/услуг;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Социальная ответственность;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Общественно необходимая продукция/услуги;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Конкурентоспособность товара/услуги по сравнению с импортными аналогами;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во внешнеэкономической деятельности;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Потенциал тиражирования/расширения бизнеса;</w:t>
      </w:r>
      <w:r>
        <w:rPr>
          <w:sz w:val="28"/>
          <w:szCs w:val="28"/>
        </w:rPr>
      </w:r>
    </w:p>
    <w:p>
      <w:pPr>
        <w:pStyle w:val="672"/>
        <w:ind w:firstLine="360"/>
        <w:jc w:val="both"/>
      </w:pPr>
      <w:r>
        <w:rPr>
          <w:sz w:val="28"/>
          <w:szCs w:val="28"/>
        </w:rPr>
        <w:t xml:space="preserve">- Вклад в социально-экономическое развитие региона/района/города.</w:t>
      </w:r>
      <w:r/>
    </w:p>
    <w:p>
      <w:pPr>
        <w:pStyle w:val="672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Эксперты учитывая количественные и качественные показатели, а также дополнительно представленные материалы, документы, фото и видео, на основании профессиональных знаний и собственного опыта, присваивают каждому уч</w:t>
      </w:r>
      <w:r>
        <w:rPr>
          <w:sz w:val="28"/>
          <w:szCs w:val="28"/>
        </w:rPr>
        <w:t xml:space="preserve">астнику по каждому из критериев оценку в баллах от 1 до 10 </w:t>
        <w:br/>
        <w:t xml:space="preserve">(1 – худшее значение, 10 – лучшее). Оценки проставляются в полученном экспертом "Листе оценки количественных и качественных критериев". Заполненные Листы оценки эксперты сдают в Вологодскую ТПП. Э</w:t>
      </w:r>
      <w:r>
        <w:rPr>
          <w:sz w:val="28"/>
          <w:szCs w:val="28"/>
        </w:rPr>
        <w:t xml:space="preserve">кспертный совет на своем заседании обсуждает формальные итоги конкурса и принимает окончательное решение о выдвижении номинантов на звание победителя в конкурсе "Серебряный Меркурий" и выдвижении кандидатов регионального этапа конкурса "Золотой Меркурий". </w:t>
      </w:r>
      <w:r>
        <w:rPr>
          <w:sz w:val="28"/>
          <w:szCs w:val="28"/>
        </w:rPr>
      </w:r>
    </w:p>
    <w:p>
      <w:pPr>
        <w:pStyle w:val="672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В каждой из номинаций Конкурса определяются 1 победитель и</w:t>
      </w:r>
      <w:r>
        <w:rPr>
          <w:sz w:val="28"/>
          <w:szCs w:val="28"/>
        </w:rPr>
        <w:t xml:space="preserve"> лауреаты. Победителям Конкурса вручаются диплом и памятный знак "Серебряный Меркурий". Лауреатам Конкурса вручаются дипломы. Участники Конкурса получают право использовать в своей документации и рекламных материалах звание лауреата и победителя Конкурса. </w:t>
      </w:r>
      <w:r>
        <w:rPr>
          <w:sz w:val="28"/>
          <w:szCs w:val="28"/>
        </w:rPr>
      </w:r>
    </w:p>
    <w:p>
      <w:pPr>
        <w:pStyle w:val="672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Перечень всех лауреатов и победителей областного конкурса "Серебряный Меркурий" размещается на официальном сайте Вологодской ТПП.</w:t>
      </w:r>
      <w:r>
        <w:rPr>
          <w:sz w:val="28"/>
          <w:szCs w:val="28"/>
        </w:rPr>
      </w:r>
    </w:p>
    <w:p>
      <w:pPr>
        <w:pStyle w:val="763"/>
        <w:ind w:firstLine="360"/>
        <w:jc w:val="both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6.10. Имена победителей конкурса "Серебряный Меркурий" объявляются на торжественной церемонии награждения.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6.11. Для проведения конкурса и церемонии награждения лауреатов допускается привлечение сторонних организаций на договорной основе.</w:t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Сроки проведения конкурса</w:t>
      </w:r>
      <w:r>
        <w:rPr>
          <w:b/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2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с 01 февраля – до подведения итогов конкурса</w:t>
      </w:r>
      <w:r>
        <w:rPr>
          <w:sz w:val="28"/>
          <w:szCs w:val="28"/>
        </w:rPr>
        <w:t xml:space="preserve"> - информирование предприятий о проведении конкурса;</w:t>
      </w:r>
      <w:r>
        <w:rPr>
          <w:sz w:val="28"/>
          <w:szCs w:val="28"/>
        </w:rPr>
      </w:r>
    </w:p>
    <w:p>
      <w:pPr>
        <w:pStyle w:val="672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01 февраля – 14 мая </w:t>
      </w:r>
      <w:r>
        <w:rPr>
          <w:sz w:val="28"/>
          <w:szCs w:val="28"/>
        </w:rPr>
        <w:t xml:space="preserve">– предоставление форм конкурсной заявки участникам конкурса для заполнения в электронном виде (Приложение 1) и сбор заявок на участие в конкурсе;</w:t>
      </w:r>
      <w:r>
        <w:rPr>
          <w:sz w:val="28"/>
          <w:szCs w:val="28"/>
        </w:rPr>
      </w:r>
    </w:p>
    <w:p>
      <w:pPr>
        <w:pStyle w:val="672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15 мая – 19 мая</w:t>
      </w:r>
      <w:r>
        <w:rPr>
          <w:sz w:val="28"/>
          <w:szCs w:val="28"/>
        </w:rPr>
        <w:t xml:space="preserve"> – работа Экспертного совета по рассмотрению представленных материалов;</w:t>
      </w:r>
      <w:r>
        <w:rPr>
          <w:sz w:val="28"/>
          <w:szCs w:val="28"/>
        </w:rPr>
      </w:r>
    </w:p>
    <w:p>
      <w:pPr>
        <w:pStyle w:val="672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20 мая – 23 мая</w:t>
      </w:r>
      <w:r>
        <w:rPr>
          <w:sz w:val="28"/>
          <w:szCs w:val="28"/>
        </w:rPr>
        <w:t xml:space="preserve"> – подведение итогов и формирование списка победителей конкурса.</w:t>
      </w:r>
      <w:r>
        <w:rPr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Организационный взнос Конкурса</w:t>
      </w:r>
      <w:r>
        <w:rPr>
          <w:b/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2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Стоимость организационного взноса для участников составляет 7000=00 (Семь тысяч рублей 00 копеек).</w:t>
      </w:r>
      <w:r>
        <w:rPr>
          <w:sz w:val="28"/>
          <w:szCs w:val="28"/>
        </w:rPr>
      </w:r>
    </w:p>
    <w:p>
      <w:pPr>
        <w:pStyle w:val="672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взнос направляется на:</w:t>
      </w:r>
      <w:r>
        <w:rPr>
          <w:sz w:val="28"/>
          <w:szCs w:val="28"/>
        </w:rPr>
      </w:r>
    </w:p>
    <w:p>
      <w:pPr>
        <w:pStyle w:val="672"/>
        <w:numPr>
          <w:ilvl w:val="0"/>
          <w:numId w:val="4"/>
        </w:numPr>
        <w:ind w:left="0" w:firstLine="360"/>
        <w:tabs>
          <w:tab w:val="clear" w:pos="708" w:leader="none"/>
          <w:tab w:val="left" w:pos="720" w:leader="none"/>
        </w:tabs>
      </w:pPr>
      <w:r>
        <w:rPr>
          <w:sz w:val="28"/>
          <w:szCs w:val="28"/>
        </w:rPr>
        <w:t xml:space="preserve">организацию рекламной кампании в СМИ и сети Интернет;</w:t>
      </w:r>
      <w:r/>
    </w:p>
    <w:p>
      <w:pPr>
        <w:pStyle w:val="672"/>
        <w:numPr>
          <w:ilvl w:val="0"/>
          <w:numId w:val="4"/>
        </w:numPr>
        <w:ind w:left="0" w:firstLine="360"/>
        <w:tabs>
          <w:tab w:val="clear" w:pos="708" w:leader="none"/>
          <w:tab w:val="left" w:pos="720" w:leader="none"/>
        </w:tabs>
      </w:pPr>
      <w:r>
        <w:rPr>
          <w:sz w:val="28"/>
          <w:szCs w:val="28"/>
        </w:rPr>
        <w:t xml:space="preserve">организацию работы конкурсной комиссии;</w:t>
      </w:r>
      <w:r/>
    </w:p>
    <w:p>
      <w:pPr>
        <w:pStyle w:val="672"/>
        <w:numPr>
          <w:ilvl w:val="0"/>
          <w:numId w:val="4"/>
        </w:numPr>
        <w:ind w:left="0" w:firstLine="360"/>
        <w:tabs>
          <w:tab w:val="clear" w:pos="708" w:leader="none"/>
          <w:tab w:val="left" w:pos="720" w:leader="none"/>
        </w:tabs>
      </w:pPr>
      <w:r>
        <w:rPr>
          <w:sz w:val="28"/>
          <w:szCs w:val="28"/>
        </w:rPr>
        <w:t xml:space="preserve">изготовления дипломов, памятных знаков;</w:t>
      </w:r>
      <w:r/>
    </w:p>
    <w:p>
      <w:pPr>
        <w:pStyle w:val="672"/>
        <w:numPr>
          <w:ilvl w:val="0"/>
          <w:numId w:val="4"/>
        </w:numPr>
        <w:ind w:left="0" w:firstLine="360"/>
        <w:tabs>
          <w:tab w:val="clear" w:pos="708" w:leader="none"/>
          <w:tab w:val="left" w:pos="720" w:leader="none"/>
        </w:tabs>
      </w:pPr>
      <w:r>
        <w:rPr>
          <w:sz w:val="28"/>
          <w:szCs w:val="28"/>
        </w:rPr>
        <w:t xml:space="preserve">проведение торжественной церемонии награждения победителей Конкурса (концертная программа, торжественный прием);</w:t>
      </w:r>
      <w:r/>
    </w:p>
    <w:p>
      <w:pPr>
        <w:pStyle w:val="672"/>
        <w:numPr>
          <w:ilvl w:val="0"/>
          <w:numId w:val="4"/>
        </w:numPr>
        <w:ind w:left="0" w:firstLine="360"/>
        <w:tabs>
          <w:tab w:val="clear" w:pos="708" w:leader="none"/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проведение пресс-конференции по подведению итогов Конкурса.</w:t>
      </w:r>
      <w:r>
        <w:rPr>
          <w:sz w:val="28"/>
          <w:szCs w:val="28"/>
        </w:rPr>
      </w:r>
    </w:p>
    <w:p>
      <w:pPr>
        <w:pStyle w:val="672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72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Реквизиты для перечисления организационного взноса Конкурса</w:t>
      </w:r>
      <w:r>
        <w:rPr>
          <w:b/>
          <w:sz w:val="28"/>
          <w:szCs w:val="28"/>
        </w:rPr>
      </w:r>
    </w:p>
    <w:p>
      <w:pPr>
        <w:pStyle w:val="67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Союз Вологодская торгово-промышленная палата</w:t>
      </w:r>
      <w:r>
        <w:rPr>
          <w:b/>
          <w:sz w:val="28"/>
          <w:szCs w:val="28"/>
        </w:rPr>
      </w:r>
    </w:p>
    <w:p>
      <w:pPr>
        <w:pStyle w:val="672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2"/>
      </w:pPr>
      <w:r>
        <w:rPr>
          <w:sz w:val="28"/>
          <w:szCs w:val="28"/>
        </w:rPr>
        <w:t xml:space="preserve">160000, Вологодская область, г. Вологда, ул. Лермонтова, д. 15</w:t>
      </w:r>
      <w:r/>
    </w:p>
    <w:p>
      <w:pPr>
        <w:pStyle w:val="672"/>
        <w:rPr>
          <w:sz w:val="28"/>
          <w:szCs w:val="28"/>
        </w:rPr>
      </w:pPr>
      <w:r>
        <w:rPr>
          <w:sz w:val="28"/>
          <w:szCs w:val="28"/>
        </w:rPr>
        <w:t xml:space="preserve">(8172) 72-14-80, 72-46-87</w:t>
      </w:r>
      <w:r>
        <w:rPr>
          <w:sz w:val="28"/>
          <w:szCs w:val="28"/>
        </w:rPr>
      </w:r>
    </w:p>
    <w:p>
      <w:pPr>
        <w:pStyle w:val="672"/>
        <w:rPr>
          <w:sz w:val="28"/>
          <w:szCs w:val="28"/>
        </w:rPr>
      </w:pPr>
      <w:r>
        <w:rPr>
          <w:sz w:val="28"/>
          <w:szCs w:val="28"/>
        </w:rPr>
        <w:t xml:space="preserve">ИНН 3525021863, КПП 352501001</w:t>
      </w:r>
      <w:r>
        <w:rPr>
          <w:sz w:val="28"/>
          <w:szCs w:val="28"/>
        </w:rPr>
      </w:r>
    </w:p>
    <w:p>
      <w:pPr>
        <w:pStyle w:val="672"/>
        <w:rPr>
          <w:sz w:val="28"/>
          <w:szCs w:val="28"/>
        </w:rPr>
      </w:pPr>
      <w:r>
        <w:rPr>
          <w:sz w:val="28"/>
          <w:szCs w:val="28"/>
        </w:rPr>
        <w:t xml:space="preserve">р/с 40703810312000100082</w:t>
      </w:r>
      <w:r>
        <w:rPr>
          <w:sz w:val="28"/>
          <w:szCs w:val="28"/>
        </w:rPr>
      </w:r>
    </w:p>
    <w:p>
      <w:pPr>
        <w:pStyle w:val="67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Банк: Вологодское отделение № 8638 ПАО Сбербанк г. Вологда</w:t>
      </w:r>
      <w:r>
        <w:rPr>
          <w:bCs/>
          <w:sz w:val="28"/>
          <w:szCs w:val="28"/>
        </w:rPr>
      </w:r>
    </w:p>
    <w:p>
      <w:pPr>
        <w:pStyle w:val="672"/>
        <w:rPr>
          <w:sz w:val="28"/>
          <w:szCs w:val="28"/>
        </w:rPr>
      </w:pPr>
      <w:r>
        <w:rPr>
          <w:sz w:val="28"/>
          <w:szCs w:val="28"/>
        </w:rPr>
        <w:t xml:space="preserve">к/с 30101810900000000644</w:t>
      </w:r>
      <w:r>
        <w:rPr>
          <w:sz w:val="28"/>
          <w:szCs w:val="28"/>
        </w:rPr>
      </w:r>
    </w:p>
    <w:p>
      <w:pPr>
        <w:pStyle w:val="672"/>
        <w:rPr>
          <w:sz w:val="28"/>
          <w:szCs w:val="28"/>
        </w:rPr>
      </w:pPr>
      <w:r>
        <w:rPr>
          <w:sz w:val="28"/>
          <w:szCs w:val="28"/>
        </w:rPr>
        <w:t xml:space="preserve">БИК 041909644</w:t>
      </w:r>
      <w:r>
        <w:rPr>
          <w:sz w:val="28"/>
          <w:szCs w:val="28"/>
        </w:rPr>
      </w:r>
    </w:p>
    <w:p>
      <w:pPr>
        <w:pStyle w:val="67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Назначение платежа – организационный сбор за участие в конкурсе "Серебряный Меркурий" согласно договора от …… № …</w:t>
      </w:r>
      <w:r>
        <w:rPr>
          <w:b/>
          <w:sz w:val="28"/>
          <w:szCs w:val="28"/>
        </w:rPr>
      </w:r>
    </w:p>
    <w:p>
      <w:pPr>
        <w:pStyle w:val="672"/>
        <w:jc w:val="both"/>
      </w:pPr>
      <w:r>
        <w:rPr>
          <w:sz w:val="28"/>
          <w:szCs w:val="28"/>
        </w:rPr>
        <w:t xml:space="preserve">Сумма платежа – 7000=00 (Семь тысяч рублей 00 копеек), </w:t>
      </w:r>
      <w:r>
        <w:rPr>
          <w:b/>
          <w:sz w:val="28"/>
          <w:szCs w:val="28"/>
        </w:rPr>
        <w:t xml:space="preserve">НДС не облагается, в связи с применением Вологодской ТПП упрощенной системы налогообложения.</w:t>
      </w:r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765" w:right="709" w:bottom="765" w:left="1418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3030804020204"/>
  </w:font>
  <w:font w:name="Tahoma">
    <w:panose1 w:val="020B0506030602030204"/>
  </w:font>
  <w:font w:name="Symbol">
    <w:panose1 w:val="05010000000000000000"/>
  </w:font>
  <w:font w:name="Courier New">
    <w:panose1 w:val="02070409020205020404"/>
  </w:font>
  <w:font w:name="Wingdings">
    <w:panose1 w:val="05010000000000000000"/>
  </w:font>
  <w:font w:name="OpenSymbol;MS Gothic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  <w:ind w:right="360" w:firstLine="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/>
  </w:p>
  <w:p>
    <w:pPr>
      <w:pStyle w:val="76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7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7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7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7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7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75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2"/>
    <w:next w:val="67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2"/>
    <w:next w:val="67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2"/>
    <w:next w:val="67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2"/>
    <w:next w:val="67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2"/>
    <w:next w:val="67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2"/>
    <w:next w:val="67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2"/>
    <w:next w:val="67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72"/>
    <w:next w:val="67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72"/>
    <w:next w:val="67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2"/>
    <w:next w:val="67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767"/>
    <w:uiPriority w:val="99"/>
  </w:style>
  <w:style w:type="character" w:styleId="45">
    <w:name w:val="Footer Char"/>
    <w:basedOn w:val="11"/>
    <w:link w:val="766"/>
    <w:uiPriority w:val="99"/>
  </w:style>
  <w:style w:type="character" w:styleId="47">
    <w:name w:val="Caption Char"/>
    <w:basedOn w:val="756"/>
    <w:link w:val="766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60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7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72"/>
    <w:next w:val="67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2"/>
    <w:next w:val="67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2"/>
    <w:next w:val="67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2"/>
    <w:next w:val="67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2"/>
    <w:next w:val="67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2"/>
    <w:next w:val="67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2"/>
    <w:next w:val="67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2"/>
    <w:next w:val="67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2"/>
    <w:next w:val="67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2"/>
    <w:next w:val="672"/>
    <w:uiPriority w:val="99"/>
    <w:unhideWhenUsed/>
    <w:pPr>
      <w:spacing w:after="0" w:afterAutospacing="0"/>
    </w:pPr>
  </w:style>
  <w:style w:type="paragraph" w:styleId="672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73">
    <w:name w:val="Heading 1"/>
    <w:basedOn w:val="672"/>
    <w:next w:val="672"/>
    <w:qFormat/>
    <w:pPr>
      <w:numPr>
        <w:ilvl w:val="0"/>
        <w:numId w:val="1"/>
      </w:num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74">
    <w:name w:val="Heading 2"/>
    <w:basedOn w:val="672"/>
    <w:next w:val="672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75">
    <w:name w:val="Heading 3"/>
    <w:basedOn w:val="672"/>
    <w:next w:val="754"/>
    <w:qFormat/>
    <w:pPr>
      <w:numPr>
        <w:ilvl w:val="2"/>
        <w:numId w:val="1"/>
      </w:numPr>
      <w:ind w:left="100" w:right="100" w:firstLine="0"/>
      <w:jc w:val="center"/>
      <w:spacing w:before="100" w:after="100"/>
      <w:outlineLvl w:val="2"/>
    </w:pPr>
    <w:rPr>
      <w:b/>
      <w:bCs/>
    </w:rPr>
  </w:style>
  <w:style w:type="character" w:styleId="676">
    <w:name w:val="WW8Num2z0"/>
    <w:qFormat/>
    <w:rPr>
      <w:rFonts w:ascii="OpenSymbol;MS Gothic" w:hAnsi="OpenSymbol;MS Gothic" w:cs="OpenSymbol;MS Gothic"/>
      <w:sz w:val="16"/>
    </w:rPr>
  </w:style>
  <w:style w:type="character" w:styleId="677">
    <w:name w:val="WW8Num3z0"/>
    <w:qFormat/>
    <w:rPr>
      <w:rFonts w:ascii="Wingdings" w:hAnsi="Wingdings" w:cs="Wingdings"/>
      <w:sz w:val="16"/>
    </w:rPr>
  </w:style>
  <w:style w:type="character" w:styleId="678">
    <w:name w:val="WW8Num3z1"/>
    <w:qFormat/>
    <w:rPr>
      <w:rFonts w:ascii="Courier New" w:hAnsi="Courier New" w:cs="Courier New"/>
    </w:rPr>
  </w:style>
  <w:style w:type="character" w:styleId="679">
    <w:name w:val="WW8Num3z2"/>
    <w:qFormat/>
    <w:rPr>
      <w:rFonts w:ascii="Wingdings" w:hAnsi="Wingdings" w:cs="Wingdings"/>
    </w:rPr>
  </w:style>
  <w:style w:type="character" w:styleId="680">
    <w:name w:val="WW8Num3z3"/>
    <w:qFormat/>
    <w:rPr>
      <w:rFonts w:ascii="Symbol" w:hAnsi="Symbol" w:cs="Symbol"/>
    </w:rPr>
  </w:style>
  <w:style w:type="character" w:styleId="681">
    <w:name w:val="WW8Num5z0"/>
    <w:qFormat/>
    <w:rPr>
      <w:rFonts w:ascii="Wingdings" w:hAnsi="Wingdings" w:cs="Wingdings"/>
      <w:sz w:val="16"/>
    </w:rPr>
  </w:style>
  <w:style w:type="character" w:styleId="682">
    <w:name w:val="WW8Num5z1"/>
    <w:qFormat/>
    <w:rPr>
      <w:rFonts w:ascii="Courier New" w:hAnsi="Courier New" w:cs="Courier New"/>
    </w:rPr>
  </w:style>
  <w:style w:type="character" w:styleId="683">
    <w:name w:val="WW8Num5z2"/>
    <w:qFormat/>
    <w:rPr>
      <w:rFonts w:ascii="Wingdings" w:hAnsi="Wingdings" w:cs="Wingdings"/>
    </w:rPr>
  </w:style>
  <w:style w:type="character" w:styleId="684">
    <w:name w:val="WW8Num5z3"/>
    <w:qFormat/>
    <w:rPr>
      <w:rFonts w:ascii="Symbol" w:hAnsi="Symbol" w:cs="Symbol"/>
    </w:rPr>
  </w:style>
  <w:style w:type="character" w:styleId="685">
    <w:name w:val="WW8Num6z0"/>
    <w:qFormat/>
    <w:rPr>
      <w:rFonts w:ascii="Symbol" w:hAnsi="Symbol" w:cs="Symbol"/>
    </w:rPr>
  </w:style>
  <w:style w:type="character" w:styleId="686">
    <w:name w:val="WW8Num6z1"/>
    <w:qFormat/>
    <w:rPr>
      <w:rFonts w:ascii="Courier New" w:hAnsi="Courier New" w:cs="Courier New"/>
    </w:rPr>
  </w:style>
  <w:style w:type="character" w:styleId="687">
    <w:name w:val="WW8Num6z2"/>
    <w:qFormat/>
    <w:rPr>
      <w:rFonts w:ascii="Wingdings" w:hAnsi="Wingdings" w:cs="Wingdings"/>
    </w:rPr>
  </w:style>
  <w:style w:type="character" w:styleId="688">
    <w:name w:val="WW8Num7z0"/>
    <w:qFormat/>
    <w:rPr>
      <w:rFonts w:ascii="Symbol" w:hAnsi="Symbol" w:cs="Symbol"/>
    </w:rPr>
  </w:style>
  <w:style w:type="character" w:styleId="689">
    <w:name w:val="WW8Num7z1"/>
    <w:qFormat/>
    <w:rPr>
      <w:rFonts w:ascii="Courier New" w:hAnsi="Courier New" w:cs="Courier New"/>
    </w:rPr>
  </w:style>
  <w:style w:type="character" w:styleId="690">
    <w:name w:val="WW8Num7z2"/>
    <w:qFormat/>
    <w:rPr>
      <w:rFonts w:ascii="Wingdings" w:hAnsi="Wingdings" w:cs="Wingdings"/>
    </w:rPr>
  </w:style>
  <w:style w:type="character" w:styleId="691">
    <w:name w:val="WW8Num8z0"/>
    <w:qFormat/>
  </w:style>
  <w:style w:type="character" w:styleId="692">
    <w:name w:val="WW8Num8z1"/>
    <w:qFormat/>
    <w:rPr>
      <w:rFonts w:ascii="Courier New" w:hAnsi="Courier New" w:cs="Courier New"/>
    </w:rPr>
  </w:style>
  <w:style w:type="character" w:styleId="693">
    <w:name w:val="WW8Num8z2"/>
    <w:qFormat/>
    <w:rPr>
      <w:rFonts w:ascii="Wingdings" w:hAnsi="Wingdings" w:cs="Wingdings"/>
    </w:rPr>
  </w:style>
  <w:style w:type="character" w:styleId="694">
    <w:name w:val="WW8Num8z3"/>
    <w:qFormat/>
    <w:rPr>
      <w:rFonts w:ascii="Symbol" w:hAnsi="Symbol" w:cs="Symbol"/>
    </w:rPr>
  </w:style>
  <w:style w:type="character" w:styleId="695">
    <w:name w:val="WW8Num9z0"/>
    <w:qFormat/>
    <w:rPr>
      <w:rFonts w:ascii="Symbol" w:hAnsi="Symbol" w:cs="Symbol"/>
    </w:rPr>
  </w:style>
  <w:style w:type="character" w:styleId="696">
    <w:name w:val="WW8Num9z1"/>
    <w:qFormat/>
    <w:rPr>
      <w:rFonts w:ascii="Courier New" w:hAnsi="Courier New" w:cs="Courier New"/>
    </w:rPr>
  </w:style>
  <w:style w:type="character" w:styleId="697">
    <w:name w:val="WW8Num9z2"/>
    <w:qFormat/>
    <w:rPr>
      <w:rFonts w:ascii="Wingdings" w:hAnsi="Wingdings" w:cs="Wingdings"/>
    </w:rPr>
  </w:style>
  <w:style w:type="character" w:styleId="698">
    <w:name w:val="WW8Num10z0"/>
    <w:qFormat/>
  </w:style>
  <w:style w:type="character" w:styleId="699">
    <w:name w:val="WW8Num11z0"/>
    <w:qFormat/>
    <w:rPr>
      <w:rFonts w:ascii="Symbol" w:hAnsi="Symbol" w:cs="Symbol"/>
    </w:rPr>
  </w:style>
  <w:style w:type="character" w:styleId="700">
    <w:name w:val="WW8Num11z1"/>
    <w:qFormat/>
    <w:rPr>
      <w:rFonts w:ascii="Courier New" w:hAnsi="Courier New" w:cs="Courier New"/>
    </w:rPr>
  </w:style>
  <w:style w:type="character" w:styleId="701">
    <w:name w:val="WW8Num11z2"/>
    <w:qFormat/>
    <w:rPr>
      <w:rFonts w:ascii="Wingdings" w:hAnsi="Wingdings" w:cs="Wingdings"/>
    </w:rPr>
  </w:style>
  <w:style w:type="character" w:styleId="702">
    <w:name w:val="WW8Num12z0"/>
    <w:qFormat/>
    <w:rPr>
      <w:rFonts w:ascii="Symbol" w:hAnsi="Symbol" w:cs="Symbol"/>
    </w:rPr>
  </w:style>
  <w:style w:type="character" w:styleId="703">
    <w:name w:val="WW8Num12z1"/>
    <w:qFormat/>
    <w:rPr>
      <w:rFonts w:ascii="Courier New" w:hAnsi="Courier New" w:cs="Courier New"/>
    </w:rPr>
  </w:style>
  <w:style w:type="character" w:styleId="704">
    <w:name w:val="WW8Num12z2"/>
    <w:qFormat/>
    <w:rPr>
      <w:rFonts w:ascii="Wingdings" w:hAnsi="Wingdings" w:cs="Wingdings"/>
    </w:rPr>
  </w:style>
  <w:style w:type="character" w:styleId="705">
    <w:name w:val="WW8Num14z0"/>
    <w:qFormat/>
    <w:rPr>
      <w:rFonts w:ascii="Wingdings" w:hAnsi="Wingdings" w:cs="Wingdings"/>
    </w:rPr>
  </w:style>
  <w:style w:type="character" w:styleId="706">
    <w:name w:val="WW8Num14z1"/>
    <w:qFormat/>
    <w:rPr>
      <w:rFonts w:ascii="Courier New" w:hAnsi="Courier New" w:cs="Courier New"/>
    </w:rPr>
  </w:style>
  <w:style w:type="character" w:styleId="707">
    <w:name w:val="WW8Num14z3"/>
    <w:qFormat/>
    <w:rPr>
      <w:rFonts w:ascii="Symbol" w:hAnsi="Symbol" w:cs="Symbol"/>
    </w:rPr>
  </w:style>
  <w:style w:type="character" w:styleId="708">
    <w:name w:val="WW8Num15z0"/>
    <w:qFormat/>
    <w:rPr>
      <w:rFonts w:ascii="Symbol" w:hAnsi="Symbol" w:cs="Symbol"/>
    </w:rPr>
  </w:style>
  <w:style w:type="character" w:styleId="709">
    <w:name w:val="WW8Num15z1"/>
    <w:qFormat/>
    <w:rPr>
      <w:rFonts w:ascii="Courier New" w:hAnsi="Courier New" w:cs="Courier New"/>
    </w:rPr>
  </w:style>
  <w:style w:type="character" w:styleId="710">
    <w:name w:val="WW8Num15z2"/>
    <w:qFormat/>
    <w:rPr>
      <w:rFonts w:ascii="Wingdings" w:hAnsi="Wingdings" w:cs="Wingdings"/>
    </w:rPr>
  </w:style>
  <w:style w:type="character" w:styleId="711">
    <w:name w:val="WW8Num16z0"/>
    <w:qFormat/>
    <w:rPr>
      <w:rFonts w:ascii="Symbol" w:hAnsi="Symbol" w:cs="Symbol"/>
    </w:rPr>
  </w:style>
  <w:style w:type="character" w:styleId="712">
    <w:name w:val="WW8Num16z1"/>
    <w:qFormat/>
    <w:rPr>
      <w:rFonts w:ascii="Courier New" w:hAnsi="Courier New" w:cs="Courier New"/>
    </w:rPr>
  </w:style>
  <w:style w:type="character" w:styleId="713">
    <w:name w:val="WW8Num16z2"/>
    <w:qFormat/>
    <w:rPr>
      <w:rFonts w:ascii="Wingdings" w:hAnsi="Wingdings" w:cs="Wingdings"/>
    </w:rPr>
  </w:style>
  <w:style w:type="character" w:styleId="714">
    <w:name w:val="WW8Num17z0"/>
    <w:qFormat/>
    <w:rPr>
      <w:rFonts w:ascii="Times New Roman" w:hAnsi="Times New Roman" w:eastAsia="Times New Roman" w:cs="Times New Roman"/>
      <w:b/>
    </w:rPr>
  </w:style>
  <w:style w:type="character" w:styleId="715">
    <w:name w:val="WW8Num18z0"/>
    <w:qFormat/>
    <w:rPr>
      <w:rFonts w:ascii="Wingdings" w:hAnsi="Wingdings" w:cs="Wingdings"/>
    </w:rPr>
  </w:style>
  <w:style w:type="character" w:styleId="716">
    <w:name w:val="WW8Num18z1"/>
    <w:qFormat/>
    <w:rPr>
      <w:rFonts w:ascii="Courier New" w:hAnsi="Courier New" w:cs="Courier New"/>
    </w:rPr>
  </w:style>
  <w:style w:type="character" w:styleId="717">
    <w:name w:val="WW8Num18z3"/>
    <w:qFormat/>
    <w:rPr>
      <w:rFonts w:ascii="Symbol" w:hAnsi="Symbol" w:cs="Symbol"/>
    </w:rPr>
  </w:style>
  <w:style w:type="character" w:styleId="718">
    <w:name w:val="WW8Num20z0"/>
    <w:qFormat/>
    <w:rPr>
      <w:rFonts w:ascii="Symbol" w:hAnsi="Symbol" w:cs="Symbol"/>
    </w:rPr>
  </w:style>
  <w:style w:type="character" w:styleId="719">
    <w:name w:val="WW8Num20z1"/>
    <w:qFormat/>
    <w:rPr>
      <w:rFonts w:ascii="Courier New" w:hAnsi="Courier New" w:cs="Courier New"/>
    </w:rPr>
  </w:style>
  <w:style w:type="character" w:styleId="720">
    <w:name w:val="WW8Num20z2"/>
    <w:qFormat/>
    <w:rPr>
      <w:rFonts w:ascii="Wingdings" w:hAnsi="Wingdings" w:cs="Wingdings"/>
    </w:rPr>
  </w:style>
  <w:style w:type="character" w:styleId="721">
    <w:name w:val="WW8Num21z0"/>
    <w:qFormat/>
    <w:rPr>
      <w:b/>
    </w:rPr>
  </w:style>
  <w:style w:type="character" w:styleId="722">
    <w:name w:val="WW8Num23z0"/>
    <w:qFormat/>
    <w:rPr>
      <w:rFonts w:ascii="Symbol" w:hAnsi="Symbol" w:cs="Symbol"/>
    </w:rPr>
  </w:style>
  <w:style w:type="character" w:styleId="723">
    <w:name w:val="WW8Num23z1"/>
    <w:qFormat/>
  </w:style>
  <w:style w:type="character" w:styleId="724">
    <w:name w:val="WW8Num23z2"/>
    <w:qFormat/>
    <w:rPr>
      <w:rFonts w:ascii="Wingdings" w:hAnsi="Wingdings" w:cs="Wingdings"/>
    </w:rPr>
  </w:style>
  <w:style w:type="character" w:styleId="725">
    <w:name w:val="WW8Num23z4"/>
    <w:qFormat/>
    <w:rPr>
      <w:rFonts w:ascii="Courier New" w:hAnsi="Courier New" w:cs="Courier New"/>
    </w:rPr>
  </w:style>
  <w:style w:type="character" w:styleId="726">
    <w:name w:val="WW8Num24z0"/>
    <w:qFormat/>
    <w:rPr>
      <w:rFonts w:ascii="Symbol" w:hAnsi="Symbol" w:cs="Symbol"/>
    </w:rPr>
  </w:style>
  <w:style w:type="character" w:styleId="727">
    <w:name w:val="WW8Num24z1"/>
    <w:qFormat/>
    <w:rPr>
      <w:rFonts w:ascii="Courier New" w:hAnsi="Courier New" w:cs="Courier New"/>
    </w:rPr>
  </w:style>
  <w:style w:type="character" w:styleId="728">
    <w:name w:val="WW8Num24z2"/>
    <w:qFormat/>
    <w:rPr>
      <w:rFonts w:ascii="Wingdings" w:hAnsi="Wingdings" w:cs="Wingdings"/>
    </w:rPr>
  </w:style>
  <w:style w:type="character" w:styleId="729">
    <w:name w:val="WW8Num25z0"/>
    <w:qFormat/>
    <w:rPr>
      <w:rFonts w:ascii="Symbol" w:hAnsi="Symbol" w:cs="Symbol"/>
    </w:rPr>
  </w:style>
  <w:style w:type="character" w:styleId="730">
    <w:name w:val="WW8Num25z1"/>
    <w:qFormat/>
    <w:rPr>
      <w:rFonts w:ascii="Courier New" w:hAnsi="Courier New" w:cs="Courier New"/>
    </w:rPr>
  </w:style>
  <w:style w:type="character" w:styleId="731">
    <w:name w:val="WW8Num25z2"/>
    <w:qFormat/>
    <w:rPr>
      <w:rFonts w:ascii="Wingdings" w:hAnsi="Wingdings" w:cs="Wingdings"/>
    </w:rPr>
  </w:style>
  <w:style w:type="character" w:styleId="732">
    <w:name w:val="WW8Num26z0"/>
    <w:qFormat/>
    <w:rPr>
      <w:u w:val="single"/>
    </w:rPr>
  </w:style>
  <w:style w:type="character" w:styleId="733">
    <w:name w:val="WW8Num27z0"/>
    <w:qFormat/>
  </w:style>
  <w:style w:type="character" w:styleId="734">
    <w:name w:val="WW8Num28z0"/>
    <w:qFormat/>
  </w:style>
  <w:style w:type="character" w:styleId="735">
    <w:name w:val="WW8Num29z0"/>
    <w:qFormat/>
    <w:rPr>
      <w:rFonts w:ascii="Symbol" w:hAnsi="Symbol" w:cs="Symbol"/>
    </w:rPr>
  </w:style>
  <w:style w:type="character" w:styleId="736">
    <w:name w:val="WW8Num29z1"/>
    <w:qFormat/>
    <w:rPr>
      <w:rFonts w:ascii="Courier New" w:hAnsi="Courier New" w:cs="Courier New"/>
    </w:rPr>
  </w:style>
  <w:style w:type="character" w:styleId="737">
    <w:name w:val="WW8Num29z2"/>
    <w:qFormat/>
    <w:rPr>
      <w:rFonts w:ascii="Wingdings" w:hAnsi="Wingdings" w:cs="Wingdings"/>
    </w:rPr>
  </w:style>
  <w:style w:type="character" w:styleId="738">
    <w:name w:val="WW8Num30z0"/>
    <w:qFormat/>
    <w:rPr>
      <w:rFonts w:ascii="Symbol" w:hAnsi="Symbol" w:cs="Symbol"/>
      <w:sz w:val="20"/>
    </w:rPr>
  </w:style>
  <w:style w:type="character" w:styleId="739">
    <w:name w:val="WW8Num30z1"/>
    <w:qFormat/>
    <w:rPr>
      <w:rFonts w:ascii="Courier New" w:hAnsi="Courier New" w:cs="Courier New"/>
      <w:sz w:val="20"/>
    </w:rPr>
  </w:style>
  <w:style w:type="character" w:styleId="740">
    <w:name w:val="WW8Num30z2"/>
    <w:qFormat/>
    <w:rPr>
      <w:rFonts w:ascii="Wingdings" w:hAnsi="Wingdings" w:cs="Wingdings"/>
      <w:sz w:val="20"/>
    </w:rPr>
  </w:style>
  <w:style w:type="character" w:styleId="741">
    <w:name w:val="WW8Num31z0"/>
    <w:qFormat/>
    <w:rPr>
      <w:rFonts w:ascii="Symbol" w:hAnsi="Symbol" w:cs="Symbol"/>
    </w:rPr>
  </w:style>
  <w:style w:type="character" w:styleId="742">
    <w:name w:val="WW8Num31z1"/>
    <w:qFormat/>
    <w:rPr>
      <w:rFonts w:ascii="Courier New" w:hAnsi="Courier New" w:cs="Courier New"/>
    </w:rPr>
  </w:style>
  <w:style w:type="character" w:styleId="743">
    <w:name w:val="WW8Num31z2"/>
    <w:qFormat/>
    <w:rPr>
      <w:rFonts w:ascii="Wingdings" w:hAnsi="Wingdings" w:cs="Wingdings"/>
    </w:rPr>
  </w:style>
  <w:style w:type="character" w:styleId="744">
    <w:name w:val="Основной шрифт абзаца"/>
    <w:qFormat/>
  </w:style>
  <w:style w:type="character" w:styleId="745">
    <w:name w:val="Символ сноски"/>
    <w:qFormat/>
    <w:rPr>
      <w:vertAlign w:val="superscript"/>
    </w:rPr>
  </w:style>
  <w:style w:type="character" w:styleId="746">
    <w:name w:val="Hyperlink"/>
    <w:rPr>
      <w:color w:val="0000ff"/>
      <w:u w:val="single"/>
    </w:rPr>
  </w:style>
  <w:style w:type="character" w:styleId="747">
    <w:name w:val="Заголовок №1 + 13"/>
    <w:qFormat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748">
    <w:name w:val="Page Number"/>
    <w:basedOn w:val="744"/>
  </w:style>
  <w:style w:type="character" w:styleId="749">
    <w:name w:val="Strong"/>
    <w:qFormat/>
    <w:rPr>
      <w:b/>
      <w:bCs/>
    </w:rPr>
  </w:style>
  <w:style w:type="character" w:styleId="750">
    <w:name w:val="Основной текст с отступом Знак"/>
    <w:qFormat/>
    <w:rPr>
      <w:sz w:val="24"/>
    </w:rPr>
  </w:style>
  <w:style w:type="character" w:styleId="751">
    <w:name w:val="FollowedHyperlink"/>
    <w:rPr>
      <w:color w:val="800080"/>
      <w:u w:val="single"/>
    </w:rPr>
  </w:style>
  <w:style w:type="character" w:styleId="752">
    <w:name w:val="Верхний колонтитул Знак"/>
    <w:qFormat/>
    <w:rPr>
      <w:sz w:val="24"/>
      <w:szCs w:val="24"/>
    </w:rPr>
  </w:style>
  <w:style w:type="paragraph" w:styleId="753">
    <w:name w:val="Heading"/>
    <w:basedOn w:val="672"/>
    <w:next w:val="754"/>
    <w:qFormat/>
    <w:pPr>
      <w:ind w:left="370" w:firstLine="0"/>
      <w:jc w:val="center"/>
      <w:spacing w:before="274" w:after="0" w:line="278" w:lineRule="exact"/>
      <w:shd w:val="clear" w:color="auto" w:fill="ffffff"/>
      <w:widowControl w:val="off"/>
    </w:pPr>
    <w:rPr>
      <w:rFonts w:ascii="Arial" w:hAnsi="Arial" w:cs="Arial"/>
      <w:b/>
      <w:bCs/>
      <w:color w:val="000000"/>
      <w:spacing w:val="11"/>
      <w:sz w:val="22"/>
      <w:szCs w:val="22"/>
    </w:rPr>
  </w:style>
  <w:style w:type="paragraph" w:styleId="754">
    <w:name w:val="Body Text"/>
    <w:basedOn w:val="672"/>
    <w:pPr>
      <w:jc w:val="center"/>
    </w:pPr>
    <w:rPr>
      <w:b/>
      <w:szCs w:val="20"/>
    </w:rPr>
  </w:style>
  <w:style w:type="paragraph" w:styleId="755">
    <w:name w:val="List"/>
    <w:basedOn w:val="754"/>
  </w:style>
  <w:style w:type="paragraph" w:styleId="756">
    <w:name w:val="Caption"/>
    <w:basedOn w:val="672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757">
    <w:name w:val="Index"/>
    <w:basedOn w:val="672"/>
    <w:qFormat/>
    <w:pPr>
      <w:suppressLineNumbers/>
    </w:pPr>
  </w:style>
  <w:style w:type="paragraph" w:styleId="758">
    <w:name w:val="text"/>
    <w:basedOn w:val="672"/>
    <w:qFormat/>
    <w:pPr>
      <w:ind w:left="60" w:right="60" w:firstLine="800"/>
      <w:jc w:val="both"/>
      <w:spacing w:before="60" w:after="60"/>
    </w:pPr>
    <w:rPr>
      <w:sz w:val="18"/>
      <w:szCs w:val="18"/>
    </w:rPr>
  </w:style>
  <w:style w:type="paragraph" w:styleId="759">
    <w:name w:val="Body Text Indent"/>
    <w:basedOn w:val="672"/>
    <w:pPr>
      <w:ind w:left="360" w:firstLine="0"/>
    </w:pPr>
    <w:rPr>
      <w:szCs w:val="20"/>
    </w:rPr>
  </w:style>
  <w:style w:type="paragraph" w:styleId="760">
    <w:name w:val="footnote text"/>
    <w:basedOn w:val="672"/>
    <w:pPr>
      <w:widowControl w:val="off"/>
    </w:pPr>
    <w:rPr>
      <w:sz w:val="20"/>
      <w:szCs w:val="20"/>
    </w:rPr>
  </w:style>
  <w:style w:type="paragraph" w:styleId="761">
    <w:name w:val="Основной текст 2"/>
    <w:basedOn w:val="672"/>
    <w:qFormat/>
    <w:pPr>
      <w:spacing w:before="0" w:after="120" w:line="480" w:lineRule="auto"/>
    </w:pPr>
  </w:style>
  <w:style w:type="paragraph" w:styleId="762">
    <w:name w:val="Текст выноски"/>
    <w:basedOn w:val="672"/>
    <w:qFormat/>
    <w:rPr>
      <w:rFonts w:ascii="Tahoma" w:hAnsi="Tahoma" w:cs="Tahoma"/>
      <w:sz w:val="16"/>
      <w:szCs w:val="16"/>
    </w:rPr>
  </w:style>
  <w:style w:type="paragraph" w:styleId="763">
    <w:name w:val="Обычный (веб)"/>
    <w:basedOn w:val="672"/>
    <w:qFormat/>
    <w:pPr>
      <w:spacing w:before="280" w:after="280"/>
    </w:pPr>
    <w:rPr>
      <w:rFonts w:ascii="Verdana" w:hAnsi="Verdana" w:cs="Verdana"/>
      <w:color w:val="000000"/>
      <w:sz w:val="17"/>
      <w:szCs w:val="17"/>
    </w:rPr>
  </w:style>
  <w:style w:type="paragraph" w:styleId="764">
    <w:name w:val="ConsPlusTitle"/>
    <w:qFormat/>
    <w:pPr>
      <w:widowControl w:val="off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765">
    <w:name w:val="Header and Footer"/>
    <w:basedOn w:val="672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66">
    <w:name w:val="Footer"/>
    <w:basedOn w:val="672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67">
    <w:name w:val="Header"/>
    <w:basedOn w:val="672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68">
    <w:name w:val="Абзац списка"/>
    <w:basedOn w:val="672"/>
    <w:qFormat/>
    <w:pPr>
      <w:ind w:left="708" w:firstLine="0"/>
    </w:pPr>
  </w:style>
  <w:style w:type="numbering" w:styleId="769">
    <w:name w:val="WW8Num1"/>
    <w:qFormat/>
  </w:style>
  <w:style w:type="numbering" w:styleId="770">
    <w:name w:val="WW8Num2"/>
    <w:qFormat/>
  </w:style>
  <w:style w:type="numbering" w:styleId="771">
    <w:name w:val="WW8Num3"/>
    <w:qFormat/>
  </w:style>
  <w:style w:type="numbering" w:styleId="772">
    <w:name w:val="WW8Num4"/>
    <w:qFormat/>
  </w:style>
  <w:style w:type="numbering" w:styleId="773">
    <w:name w:val="WW8Num5"/>
    <w:qFormat/>
  </w:style>
  <w:style w:type="numbering" w:styleId="774">
    <w:name w:val="WW8Num6"/>
    <w:qFormat/>
  </w:style>
  <w:style w:type="numbering" w:styleId="775">
    <w:name w:val="WW8Num7"/>
    <w:qFormat/>
  </w:style>
  <w:style w:type="numbering" w:styleId="776">
    <w:name w:val="WW8Num8"/>
    <w:qFormat/>
  </w:style>
  <w:style w:type="numbering" w:styleId="777">
    <w:name w:val="WW8Num9"/>
    <w:qFormat/>
  </w:style>
  <w:style w:type="numbering" w:styleId="778">
    <w:name w:val="WW8Num10"/>
    <w:qFormat/>
  </w:style>
  <w:style w:type="numbering" w:styleId="779">
    <w:name w:val="WW8Num11"/>
    <w:qFormat/>
  </w:style>
  <w:style w:type="numbering" w:styleId="780">
    <w:name w:val="WW8Num12"/>
    <w:qFormat/>
  </w:style>
  <w:style w:type="numbering" w:styleId="781">
    <w:name w:val="WW8Num13"/>
    <w:qFormat/>
  </w:style>
  <w:style w:type="numbering" w:styleId="782">
    <w:name w:val="WW8Num14"/>
    <w:qFormat/>
  </w:style>
  <w:style w:type="numbering" w:styleId="783">
    <w:name w:val="WW8Num15"/>
    <w:qFormat/>
  </w:style>
  <w:style w:type="numbering" w:styleId="784">
    <w:name w:val="WW8Num16"/>
    <w:qFormat/>
  </w:style>
  <w:style w:type="numbering" w:styleId="785">
    <w:name w:val="WW8Num17"/>
    <w:qFormat/>
  </w:style>
  <w:style w:type="numbering" w:styleId="786">
    <w:name w:val="WW8Num18"/>
    <w:qFormat/>
  </w:style>
  <w:style w:type="numbering" w:styleId="787">
    <w:name w:val="WW8Num19"/>
    <w:qFormat/>
  </w:style>
  <w:style w:type="numbering" w:styleId="788">
    <w:name w:val="WW8Num20"/>
    <w:qFormat/>
  </w:style>
  <w:style w:type="numbering" w:styleId="789">
    <w:name w:val="WW8Num21"/>
    <w:qFormat/>
  </w:style>
  <w:style w:type="numbering" w:styleId="790">
    <w:name w:val="WW8Num22"/>
    <w:qFormat/>
  </w:style>
  <w:style w:type="numbering" w:styleId="791">
    <w:name w:val="WW8Num23"/>
    <w:qFormat/>
  </w:style>
  <w:style w:type="numbering" w:styleId="792">
    <w:name w:val="WW8Num24"/>
    <w:qFormat/>
  </w:style>
  <w:style w:type="numbering" w:styleId="793">
    <w:name w:val="WW8Num25"/>
    <w:qFormat/>
  </w:style>
  <w:style w:type="numbering" w:styleId="794">
    <w:name w:val="WW8Num26"/>
    <w:qFormat/>
  </w:style>
  <w:style w:type="numbering" w:styleId="795">
    <w:name w:val="WW8Num27"/>
    <w:qFormat/>
  </w:style>
  <w:style w:type="numbering" w:styleId="796">
    <w:name w:val="WW8Num28"/>
    <w:qFormat/>
  </w:style>
  <w:style w:type="numbering" w:styleId="797">
    <w:name w:val="WW8Num29"/>
    <w:qFormat/>
  </w:style>
  <w:style w:type="numbering" w:styleId="798">
    <w:name w:val="WW8Num30"/>
    <w:qFormat/>
  </w:style>
  <w:style w:type="numbering" w:styleId="799">
    <w:name w:val="WW8Num31"/>
    <w:qFormat/>
  </w:style>
  <w:style w:type="character" w:styleId="1464" w:default="1">
    <w:name w:val="Default Paragraph Font"/>
    <w:uiPriority w:val="1"/>
    <w:semiHidden/>
    <w:unhideWhenUsed/>
  </w:style>
  <w:style w:type="numbering" w:styleId="1465" w:default="1">
    <w:name w:val="No List"/>
    <w:uiPriority w:val="99"/>
    <w:semiHidden/>
    <w:unhideWhenUsed/>
  </w:style>
  <w:style w:type="table" w:styleId="146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Admin</dc:creator>
  <cp:keywords/>
  <dc:description/>
  <dc:language>en-US</dc:language>
  <cp:lastModifiedBy>Polina Chashnikova</cp:lastModifiedBy>
  <cp:revision>28</cp:revision>
  <dcterms:created xsi:type="dcterms:W3CDTF">2022-02-04T12:47:00Z</dcterms:created>
  <dcterms:modified xsi:type="dcterms:W3CDTF">2024-02-14T13:11:46Z</dcterms:modified>
</cp:coreProperties>
</file>